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9201" w14:textId="77777777" w:rsidR="007507B0" w:rsidRDefault="005E2B52">
      <w:pPr>
        <w:spacing w:after="120"/>
        <w:ind w:left="3281"/>
      </w:pPr>
      <w:r>
        <w:rPr>
          <w:noProof/>
        </w:rPr>
        <w:drawing>
          <wp:inline distT="0" distB="0" distL="0" distR="0" wp14:anchorId="6156A421" wp14:editId="53E3618D">
            <wp:extent cx="2372515" cy="593402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515" cy="59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2793" w14:textId="10B4306F" w:rsidR="007507B0" w:rsidRDefault="005E2B52">
      <w:pPr>
        <w:spacing w:after="213"/>
        <w:ind w:left="74"/>
        <w:jc w:val="center"/>
      </w:pPr>
      <w:r>
        <w:rPr>
          <w:rFonts w:ascii="Bodoni MT" w:eastAsia="Bodoni MT" w:hAnsi="Bodoni MT" w:cs="Bodoni MT"/>
          <w:b/>
          <w:sz w:val="23"/>
        </w:rPr>
        <w:t>R</w:t>
      </w:r>
      <w:r w:rsidR="00BA6BFE">
        <w:rPr>
          <w:rFonts w:ascii="Bodoni MT" w:eastAsia="Bodoni MT" w:hAnsi="Bodoni MT" w:cs="Bodoni MT"/>
          <w:b/>
          <w:sz w:val="23"/>
        </w:rPr>
        <w:t xml:space="preserve">APPORT DU FONDS DES </w:t>
      </w:r>
      <w:r>
        <w:rPr>
          <w:rFonts w:ascii="Bodoni MT" w:eastAsia="Bodoni MT" w:hAnsi="Bodoni MT" w:cs="Bodoni MT"/>
          <w:b/>
          <w:sz w:val="23"/>
        </w:rPr>
        <w:t>MINISTÈRES EN FRANÇAIS</w:t>
      </w:r>
    </w:p>
    <w:p w14:paraId="6FF60BF0" w14:textId="44002C82" w:rsidR="007507B0" w:rsidRDefault="005E2B52">
      <w:pPr>
        <w:tabs>
          <w:tab w:val="center" w:pos="2570"/>
        </w:tabs>
        <w:spacing w:after="0" w:line="265" w:lineRule="auto"/>
        <w:ind w:left="-15"/>
      </w:pPr>
      <w:r>
        <w:rPr>
          <w:rFonts w:ascii="Verdana" w:eastAsia="Verdana" w:hAnsi="Verdana" w:cs="Verdana"/>
          <w:sz w:val="19"/>
        </w:rPr>
        <w:t>Date</w:t>
      </w:r>
      <w:r w:rsidR="00BA6BFE">
        <w:rPr>
          <w:rFonts w:ascii="Verdana" w:eastAsia="Verdana" w:hAnsi="Verdana" w:cs="Verdana"/>
          <w:sz w:val="19"/>
        </w:rPr>
        <w:t> </w:t>
      </w:r>
      <w:r>
        <w:rPr>
          <w:rFonts w:ascii="Verdana" w:eastAsia="Verdana" w:hAnsi="Verdana" w:cs="Verdana"/>
          <w:sz w:val="19"/>
        </w:rPr>
        <w:t>:</w:t>
      </w:r>
      <w:r>
        <w:rPr>
          <w:rFonts w:ascii="Verdana" w:eastAsia="Verdana" w:hAnsi="Verdana" w:cs="Verdana"/>
          <w:sz w:val="19"/>
        </w:rPr>
        <w:tab/>
      </w:r>
      <w:r w:rsidR="00BA6BFE">
        <w:rPr>
          <w:rFonts w:ascii="Verdana" w:eastAsia="Verdana" w:hAnsi="Verdana" w:cs="Verdana"/>
          <w:sz w:val="19"/>
        </w:rPr>
        <w:t xml:space="preserve">7 février </w:t>
      </w:r>
      <w:r>
        <w:rPr>
          <w:rFonts w:ascii="Verdana" w:eastAsia="Verdana" w:hAnsi="Verdana" w:cs="Verdana"/>
          <w:sz w:val="19"/>
        </w:rPr>
        <w:t>2024</w:t>
      </w:r>
    </w:p>
    <w:p w14:paraId="4D34F8B6" w14:textId="3400E1A9" w:rsidR="007507B0" w:rsidRDefault="00BA6BFE">
      <w:pPr>
        <w:spacing w:after="500" w:line="265" w:lineRule="auto"/>
        <w:ind w:left="-5" w:hanging="10"/>
      </w:pPr>
      <w:r>
        <w:rPr>
          <w:rFonts w:ascii="Verdana" w:eastAsia="Verdana" w:hAnsi="Verdana" w:cs="Verdana"/>
          <w:sz w:val="19"/>
        </w:rPr>
        <w:t>N</w:t>
      </w:r>
      <w:r w:rsidRPr="00BA6BFE">
        <w:rPr>
          <w:rFonts w:ascii="Verdana" w:eastAsia="Verdana" w:hAnsi="Verdana" w:cs="Verdana"/>
          <w:sz w:val="19"/>
          <w:vertAlign w:val="superscript"/>
        </w:rPr>
        <w:t>o</w:t>
      </w:r>
      <w:r>
        <w:rPr>
          <w:rFonts w:ascii="Verdana" w:eastAsia="Verdana" w:hAnsi="Verdana" w:cs="Verdana"/>
          <w:sz w:val="19"/>
        </w:rPr>
        <w:t xml:space="preserve"> du fonds : 5206310</w:t>
      </w:r>
    </w:p>
    <w:p w14:paraId="04364825" w14:textId="739897C9" w:rsidR="007507B0" w:rsidRDefault="00BA6B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706" w:right="1529"/>
        <w:jc w:val="center"/>
      </w:pPr>
      <w:r>
        <w:rPr>
          <w:rFonts w:ascii="Verdana" w:eastAsia="Verdana" w:hAnsi="Verdana" w:cs="Verdana"/>
          <w:b/>
          <w:sz w:val="23"/>
        </w:rPr>
        <w:t>État des activités du fonds</w:t>
      </w:r>
    </w:p>
    <w:p w14:paraId="317A67BE" w14:textId="40793A9E" w:rsidR="007507B0" w:rsidRDefault="00BA6B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0"/>
        <w:ind w:left="1706" w:right="1529"/>
        <w:jc w:val="center"/>
      </w:pPr>
      <w:r>
        <w:rPr>
          <w:rFonts w:ascii="Verdana" w:eastAsia="Verdana" w:hAnsi="Verdana" w:cs="Verdana"/>
          <w:i/>
          <w:sz w:val="19"/>
        </w:rPr>
        <w:t>Pour la période du 1</w:t>
      </w:r>
      <w:r w:rsidRPr="00BA6BFE">
        <w:rPr>
          <w:rFonts w:ascii="Verdana" w:eastAsia="Verdana" w:hAnsi="Verdana" w:cs="Verdana"/>
          <w:i/>
          <w:sz w:val="19"/>
          <w:vertAlign w:val="superscript"/>
        </w:rPr>
        <w:t>er</w:t>
      </w:r>
      <w:r>
        <w:rPr>
          <w:rFonts w:ascii="Verdana" w:eastAsia="Verdana" w:hAnsi="Verdana" w:cs="Verdana"/>
          <w:i/>
          <w:sz w:val="19"/>
        </w:rPr>
        <w:t xml:space="preserve"> janvier 2023 au 31 décembre 2023</w:t>
      </w:r>
    </w:p>
    <w:p w14:paraId="3FEAB59F" w14:textId="77C330D0" w:rsidR="007507B0" w:rsidRDefault="00BA6B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226"/>
        <w:ind w:left="1706" w:right="1529"/>
        <w:jc w:val="both"/>
      </w:pPr>
      <w:r>
        <w:rPr>
          <w:rFonts w:ascii="Verdana" w:eastAsia="Verdana" w:hAnsi="Verdana" w:cs="Verdana"/>
          <w:b/>
          <w:sz w:val="19"/>
        </w:rPr>
        <w:t>Solde d’ouverture</w:t>
      </w:r>
      <w:r>
        <w:rPr>
          <w:rFonts w:ascii="Verdana" w:eastAsia="Verdana" w:hAnsi="Verdana" w:cs="Verdana"/>
          <w:b/>
          <w:sz w:val="19"/>
        </w:rPr>
        <w:tab/>
        <w:t>830 419,19 $</w:t>
      </w:r>
    </w:p>
    <w:p w14:paraId="2A46672F" w14:textId="16348E95" w:rsidR="007507B0" w:rsidRDefault="005E2B52">
      <w:pPr>
        <w:pStyle w:val="Heading1"/>
        <w:ind w:left="1716" w:right="1529"/>
      </w:pPr>
      <w:r>
        <w:t>Revenus</w:t>
      </w:r>
    </w:p>
    <w:p w14:paraId="69F1486B" w14:textId="1F9D4AE0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1" w:line="258" w:lineRule="auto"/>
        <w:ind w:left="1706" w:right="1529"/>
      </w:pPr>
      <w:r>
        <w:rPr>
          <w:rFonts w:ascii="Verdana" w:eastAsia="Verdana" w:hAnsi="Verdana" w:cs="Verdana"/>
          <w:sz w:val="19"/>
        </w:rPr>
        <w:t xml:space="preserve">        Dons</w:t>
      </w:r>
      <w:r>
        <w:rPr>
          <w:rFonts w:ascii="Verdana" w:eastAsia="Verdana" w:hAnsi="Verdana" w:cs="Verdana"/>
          <w:sz w:val="19"/>
        </w:rPr>
        <w:tab/>
        <w:t>102</w:t>
      </w:r>
      <w:r w:rsidR="00BA6BFE">
        <w:rPr>
          <w:rFonts w:ascii="Verdana" w:eastAsia="Verdana" w:hAnsi="Verdana" w:cs="Verdana"/>
          <w:sz w:val="19"/>
        </w:rPr>
        <w:t> </w:t>
      </w:r>
      <w:r>
        <w:rPr>
          <w:rFonts w:ascii="Verdana" w:eastAsia="Verdana" w:hAnsi="Verdana" w:cs="Verdana"/>
          <w:sz w:val="19"/>
        </w:rPr>
        <w:t>281</w:t>
      </w:r>
      <w:r w:rsidR="00BA6BFE">
        <w:rPr>
          <w:rFonts w:ascii="Verdana" w:eastAsia="Verdana" w:hAnsi="Verdana" w:cs="Verdana"/>
          <w:sz w:val="19"/>
        </w:rPr>
        <w:t>,</w:t>
      </w:r>
      <w:r>
        <w:rPr>
          <w:rFonts w:ascii="Verdana" w:eastAsia="Verdana" w:hAnsi="Verdana" w:cs="Verdana"/>
          <w:sz w:val="19"/>
        </w:rPr>
        <w:t>84</w:t>
      </w:r>
      <w:r w:rsidR="00BA6BFE">
        <w:rPr>
          <w:rFonts w:ascii="Verdana" w:eastAsia="Verdana" w:hAnsi="Verdana" w:cs="Verdana"/>
          <w:sz w:val="19"/>
        </w:rPr>
        <w:t> $</w:t>
      </w:r>
    </w:p>
    <w:p w14:paraId="6874229C" w14:textId="25BE39E5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753"/>
        </w:tabs>
        <w:spacing w:after="1" w:line="258" w:lineRule="auto"/>
        <w:ind w:left="1706" w:right="1529"/>
      </w:pPr>
      <w:r>
        <w:rPr>
          <w:rFonts w:ascii="Verdana" w:eastAsia="Verdana" w:hAnsi="Verdana" w:cs="Verdana"/>
          <w:sz w:val="19"/>
        </w:rPr>
        <w:t xml:space="preserve">        </w:t>
      </w:r>
      <w:r w:rsidR="00BA6BFE">
        <w:rPr>
          <w:rFonts w:ascii="Verdana" w:eastAsia="Verdana" w:hAnsi="Verdana" w:cs="Verdana"/>
          <w:sz w:val="19"/>
        </w:rPr>
        <w:t>Revenus de placements</w:t>
      </w:r>
      <w:r>
        <w:rPr>
          <w:rFonts w:ascii="Verdana" w:eastAsia="Verdana" w:hAnsi="Verdana" w:cs="Verdana"/>
          <w:sz w:val="19"/>
        </w:rPr>
        <w:tab/>
        <w:t>-</w:t>
      </w:r>
      <w:r w:rsidR="00BA6BFE">
        <w:rPr>
          <w:rFonts w:ascii="Verdana" w:eastAsia="Verdana" w:hAnsi="Verdana" w:cs="Verdana"/>
          <w:sz w:val="19"/>
        </w:rPr>
        <w:t xml:space="preserve">                    $</w:t>
      </w:r>
    </w:p>
    <w:p w14:paraId="4A60B089" w14:textId="020FFF26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1" w:line="258" w:lineRule="auto"/>
        <w:ind w:left="1706" w:right="1529"/>
      </w:pPr>
      <w:r>
        <w:rPr>
          <w:rFonts w:ascii="Verdana" w:eastAsia="Verdana" w:hAnsi="Verdana" w:cs="Verdana"/>
          <w:sz w:val="19"/>
        </w:rPr>
        <w:t xml:space="preserve">        </w:t>
      </w:r>
      <w:r w:rsidR="00BA6BFE">
        <w:rPr>
          <w:rFonts w:ascii="Verdana" w:eastAsia="Verdana" w:hAnsi="Verdana" w:cs="Verdana"/>
          <w:sz w:val="19"/>
        </w:rPr>
        <w:t>Revenus de placement non réalisés</w:t>
      </w:r>
      <w:r>
        <w:rPr>
          <w:rFonts w:ascii="Verdana" w:eastAsia="Verdana" w:hAnsi="Verdana" w:cs="Verdana"/>
          <w:sz w:val="19"/>
        </w:rPr>
        <w:t xml:space="preserve"> (gain</w:t>
      </w:r>
      <w:r w:rsidR="00BA6BFE">
        <w:rPr>
          <w:rFonts w:ascii="Verdana" w:eastAsia="Verdana" w:hAnsi="Verdana" w:cs="Verdana"/>
          <w:sz w:val="19"/>
        </w:rPr>
        <w:t>s</w:t>
      </w:r>
      <w:r>
        <w:rPr>
          <w:rFonts w:ascii="Verdana" w:eastAsia="Verdana" w:hAnsi="Verdana" w:cs="Verdana"/>
          <w:sz w:val="19"/>
        </w:rPr>
        <w:t>/</w:t>
      </w:r>
      <w:r w:rsidR="00BA6BFE">
        <w:rPr>
          <w:rFonts w:ascii="Verdana" w:eastAsia="Verdana" w:hAnsi="Verdana" w:cs="Verdana"/>
          <w:sz w:val="19"/>
        </w:rPr>
        <w:t>pertes</w:t>
      </w:r>
      <w:r>
        <w:rPr>
          <w:rFonts w:ascii="Verdana" w:eastAsia="Verdana" w:hAnsi="Verdana" w:cs="Verdana"/>
          <w:sz w:val="19"/>
        </w:rPr>
        <w:t>)</w:t>
      </w:r>
      <w:r>
        <w:rPr>
          <w:rFonts w:ascii="Verdana" w:eastAsia="Verdana" w:hAnsi="Verdana" w:cs="Verdana"/>
          <w:sz w:val="19"/>
        </w:rPr>
        <w:tab/>
        <w:t>89</w:t>
      </w:r>
      <w:r w:rsidR="00BA6BFE">
        <w:rPr>
          <w:rFonts w:ascii="Verdana" w:eastAsia="Verdana" w:hAnsi="Verdana" w:cs="Verdana"/>
          <w:sz w:val="19"/>
        </w:rPr>
        <w:t> </w:t>
      </w:r>
      <w:r>
        <w:rPr>
          <w:rFonts w:ascii="Verdana" w:eastAsia="Verdana" w:hAnsi="Verdana" w:cs="Verdana"/>
          <w:sz w:val="19"/>
        </w:rPr>
        <w:t>529</w:t>
      </w:r>
      <w:r w:rsidR="00BA6BFE">
        <w:rPr>
          <w:rFonts w:ascii="Verdana" w:eastAsia="Verdana" w:hAnsi="Verdana" w:cs="Verdana"/>
          <w:sz w:val="19"/>
        </w:rPr>
        <w:t>,</w:t>
      </w:r>
      <w:r>
        <w:rPr>
          <w:rFonts w:ascii="Verdana" w:eastAsia="Verdana" w:hAnsi="Verdana" w:cs="Verdana"/>
          <w:sz w:val="19"/>
        </w:rPr>
        <w:t>29</w:t>
      </w:r>
      <w:r w:rsidR="00BA6BFE">
        <w:rPr>
          <w:rFonts w:ascii="Verdana" w:eastAsia="Verdana" w:hAnsi="Verdana" w:cs="Verdana"/>
          <w:sz w:val="19"/>
        </w:rPr>
        <w:t> $</w:t>
      </w:r>
    </w:p>
    <w:p w14:paraId="7A6146E4" w14:textId="72F590AF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226"/>
        <w:ind w:left="1706" w:right="1529"/>
        <w:jc w:val="both"/>
      </w:pPr>
      <w:r>
        <w:rPr>
          <w:rFonts w:ascii="Verdana" w:eastAsia="Verdana" w:hAnsi="Verdana" w:cs="Verdana"/>
          <w:b/>
          <w:sz w:val="19"/>
        </w:rPr>
        <w:t xml:space="preserve">Total </w:t>
      </w:r>
      <w:r w:rsidR="00BA6BFE">
        <w:rPr>
          <w:rFonts w:ascii="Verdana" w:eastAsia="Verdana" w:hAnsi="Verdana" w:cs="Verdana"/>
          <w:b/>
          <w:sz w:val="19"/>
        </w:rPr>
        <w:t>des r</w:t>
      </w:r>
      <w:r>
        <w:rPr>
          <w:rFonts w:ascii="Verdana" w:eastAsia="Verdana" w:hAnsi="Verdana" w:cs="Verdana"/>
          <w:b/>
          <w:sz w:val="19"/>
        </w:rPr>
        <w:t>evenu</w:t>
      </w:r>
      <w:r w:rsidR="00BA6BFE">
        <w:rPr>
          <w:rFonts w:ascii="Verdana" w:eastAsia="Verdana" w:hAnsi="Verdana" w:cs="Verdana"/>
          <w:b/>
          <w:sz w:val="19"/>
        </w:rPr>
        <w:t>s</w:t>
      </w:r>
      <w:r>
        <w:rPr>
          <w:rFonts w:ascii="Verdana" w:eastAsia="Verdana" w:hAnsi="Verdana" w:cs="Verdana"/>
          <w:b/>
          <w:sz w:val="19"/>
        </w:rPr>
        <w:tab/>
        <w:t>191</w:t>
      </w:r>
      <w:r w:rsidR="00BA6BFE">
        <w:rPr>
          <w:rFonts w:ascii="Verdana" w:eastAsia="Verdana" w:hAnsi="Verdana" w:cs="Verdana"/>
          <w:b/>
          <w:sz w:val="19"/>
        </w:rPr>
        <w:t> </w:t>
      </w:r>
      <w:r>
        <w:rPr>
          <w:rFonts w:ascii="Verdana" w:eastAsia="Verdana" w:hAnsi="Verdana" w:cs="Verdana"/>
          <w:b/>
          <w:sz w:val="19"/>
        </w:rPr>
        <w:t>811</w:t>
      </w:r>
      <w:r w:rsidR="00BA6BFE">
        <w:rPr>
          <w:rFonts w:ascii="Verdana" w:eastAsia="Verdana" w:hAnsi="Verdana" w:cs="Verdana"/>
          <w:b/>
          <w:sz w:val="19"/>
        </w:rPr>
        <w:t>,</w:t>
      </w:r>
      <w:r>
        <w:rPr>
          <w:rFonts w:ascii="Verdana" w:eastAsia="Verdana" w:hAnsi="Verdana" w:cs="Verdana"/>
          <w:b/>
          <w:sz w:val="19"/>
        </w:rPr>
        <w:t>13</w:t>
      </w:r>
      <w:r w:rsidR="00BA6BFE">
        <w:rPr>
          <w:rFonts w:ascii="Verdana" w:eastAsia="Verdana" w:hAnsi="Verdana" w:cs="Verdana"/>
          <w:b/>
          <w:sz w:val="19"/>
        </w:rPr>
        <w:t> $</w:t>
      </w:r>
    </w:p>
    <w:p w14:paraId="00E991D7" w14:textId="5EACD113" w:rsidR="007507B0" w:rsidRDefault="00BA6BFE">
      <w:pPr>
        <w:pStyle w:val="Heading1"/>
        <w:ind w:left="1716" w:right="1529"/>
      </w:pPr>
      <w:r>
        <w:t>Dépenses</w:t>
      </w:r>
    </w:p>
    <w:p w14:paraId="1B8CA612" w14:textId="6ED4A951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1" w:line="258" w:lineRule="auto"/>
        <w:ind w:left="1706" w:right="1529"/>
      </w:pPr>
      <w:r>
        <w:rPr>
          <w:rFonts w:ascii="Verdana" w:eastAsia="Verdana" w:hAnsi="Verdana" w:cs="Verdana"/>
          <w:sz w:val="19"/>
        </w:rPr>
        <w:t xml:space="preserve">        </w:t>
      </w:r>
      <w:r w:rsidR="00BA6BFE">
        <w:rPr>
          <w:rFonts w:ascii="Verdana" w:eastAsia="Verdana" w:hAnsi="Verdana" w:cs="Verdana"/>
          <w:sz w:val="19"/>
        </w:rPr>
        <w:t>Subventions</w:t>
      </w:r>
      <w:r>
        <w:rPr>
          <w:rFonts w:ascii="Verdana" w:eastAsia="Verdana" w:hAnsi="Verdana" w:cs="Verdana"/>
          <w:sz w:val="19"/>
        </w:rPr>
        <w:tab/>
        <w:t>77</w:t>
      </w:r>
      <w:r w:rsidR="00BA6BFE">
        <w:rPr>
          <w:rFonts w:ascii="Verdana" w:eastAsia="Verdana" w:hAnsi="Verdana" w:cs="Verdana"/>
          <w:sz w:val="19"/>
        </w:rPr>
        <w:t> </w:t>
      </w:r>
      <w:r>
        <w:rPr>
          <w:rFonts w:ascii="Verdana" w:eastAsia="Verdana" w:hAnsi="Verdana" w:cs="Verdana"/>
          <w:sz w:val="19"/>
        </w:rPr>
        <w:t>108</w:t>
      </w:r>
      <w:r w:rsidR="00BA6BFE">
        <w:rPr>
          <w:rFonts w:ascii="Verdana" w:eastAsia="Verdana" w:hAnsi="Verdana" w:cs="Verdana"/>
          <w:sz w:val="19"/>
        </w:rPr>
        <w:t>,</w:t>
      </w:r>
      <w:r>
        <w:rPr>
          <w:rFonts w:ascii="Verdana" w:eastAsia="Verdana" w:hAnsi="Verdana" w:cs="Verdana"/>
          <w:sz w:val="19"/>
        </w:rPr>
        <w:t>26</w:t>
      </w:r>
      <w:r w:rsidR="00BA6BFE">
        <w:rPr>
          <w:rFonts w:ascii="Verdana" w:eastAsia="Verdana" w:hAnsi="Verdana" w:cs="Verdana"/>
          <w:sz w:val="19"/>
        </w:rPr>
        <w:t> $</w:t>
      </w:r>
    </w:p>
    <w:p w14:paraId="7DCBC685" w14:textId="565C7F4F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877"/>
        </w:tabs>
        <w:spacing w:after="1" w:line="258" w:lineRule="auto"/>
        <w:ind w:left="1706" w:right="1529"/>
      </w:pPr>
      <w:r>
        <w:rPr>
          <w:rFonts w:ascii="Verdana" w:eastAsia="Verdana" w:hAnsi="Verdana" w:cs="Verdana"/>
          <w:sz w:val="19"/>
        </w:rPr>
        <w:t xml:space="preserve">        </w:t>
      </w:r>
      <w:r w:rsidR="00BA6BFE">
        <w:rPr>
          <w:rFonts w:ascii="Verdana" w:eastAsia="Verdana" w:hAnsi="Verdana" w:cs="Verdana"/>
          <w:sz w:val="19"/>
        </w:rPr>
        <w:t>Frais d’a</w:t>
      </w:r>
      <w:r>
        <w:rPr>
          <w:rFonts w:ascii="Verdana" w:eastAsia="Verdana" w:hAnsi="Verdana" w:cs="Verdana"/>
          <w:sz w:val="19"/>
        </w:rPr>
        <w:t>dministrat</w:t>
      </w:r>
      <w:r w:rsidR="00BA6BFE">
        <w:rPr>
          <w:rFonts w:ascii="Verdana" w:eastAsia="Verdana" w:hAnsi="Verdana" w:cs="Verdana"/>
          <w:sz w:val="19"/>
        </w:rPr>
        <w:t>ion</w:t>
      </w:r>
      <w:r>
        <w:rPr>
          <w:rFonts w:ascii="Verdana" w:eastAsia="Verdana" w:hAnsi="Verdana" w:cs="Verdana"/>
          <w:sz w:val="19"/>
        </w:rPr>
        <w:tab/>
        <w:t>13</w:t>
      </w:r>
      <w:r w:rsidR="00BA6BFE">
        <w:rPr>
          <w:rFonts w:ascii="Verdana" w:eastAsia="Verdana" w:hAnsi="Verdana" w:cs="Verdana"/>
          <w:sz w:val="19"/>
        </w:rPr>
        <w:t> </w:t>
      </w:r>
      <w:r>
        <w:rPr>
          <w:rFonts w:ascii="Verdana" w:eastAsia="Verdana" w:hAnsi="Verdana" w:cs="Verdana"/>
          <w:sz w:val="19"/>
        </w:rPr>
        <w:t>804</w:t>
      </w:r>
      <w:r w:rsidR="00BA6BFE">
        <w:rPr>
          <w:rFonts w:ascii="Verdana" w:eastAsia="Verdana" w:hAnsi="Verdana" w:cs="Verdana"/>
          <w:sz w:val="19"/>
        </w:rPr>
        <w:t>,</w:t>
      </w:r>
      <w:r>
        <w:rPr>
          <w:rFonts w:ascii="Verdana" w:eastAsia="Verdana" w:hAnsi="Verdana" w:cs="Verdana"/>
          <w:sz w:val="19"/>
        </w:rPr>
        <w:t>94</w:t>
      </w:r>
      <w:r w:rsidR="00BA6BFE">
        <w:rPr>
          <w:rFonts w:ascii="Verdana" w:eastAsia="Verdana" w:hAnsi="Verdana" w:cs="Verdana"/>
          <w:sz w:val="19"/>
        </w:rPr>
        <w:t> $</w:t>
      </w:r>
    </w:p>
    <w:p w14:paraId="322310FC" w14:textId="71BD136F" w:rsidR="00BA6BFE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7" w:line="258" w:lineRule="auto"/>
        <w:ind w:left="1716" w:right="1529" w:hanging="10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        </w:t>
      </w:r>
      <w:r w:rsidR="00BA6BFE">
        <w:rPr>
          <w:rFonts w:ascii="Verdana" w:eastAsia="Verdana" w:hAnsi="Verdana" w:cs="Verdana"/>
          <w:sz w:val="19"/>
        </w:rPr>
        <w:t xml:space="preserve">Autres  </w:t>
      </w:r>
      <w:r>
        <w:rPr>
          <w:rFonts w:ascii="Verdana" w:eastAsia="Verdana" w:hAnsi="Verdana" w:cs="Verdana"/>
          <w:sz w:val="19"/>
        </w:rPr>
        <w:t xml:space="preserve">             </w:t>
      </w:r>
      <w:r w:rsidR="00BA6BFE">
        <w:rPr>
          <w:rFonts w:ascii="Verdana" w:eastAsia="Verdana" w:hAnsi="Verdana" w:cs="Verdana"/>
          <w:sz w:val="19"/>
        </w:rPr>
        <w:tab/>
      </w:r>
      <w:r w:rsidR="00BA6BFE">
        <w:rPr>
          <w:rFonts w:ascii="Verdana" w:eastAsia="Verdana" w:hAnsi="Verdana" w:cs="Verdana"/>
          <w:sz w:val="19"/>
        </w:rPr>
        <w:tab/>
      </w:r>
      <w:r w:rsidR="00BA6BFE">
        <w:rPr>
          <w:rFonts w:ascii="Verdana" w:eastAsia="Verdana" w:hAnsi="Verdana" w:cs="Verdana"/>
          <w:sz w:val="19"/>
        </w:rPr>
        <w:tab/>
      </w:r>
      <w:r w:rsidR="00BA6BFE">
        <w:rPr>
          <w:rFonts w:ascii="Verdana" w:eastAsia="Verdana" w:hAnsi="Verdana" w:cs="Verdana"/>
          <w:sz w:val="19"/>
        </w:rPr>
        <w:tab/>
      </w:r>
      <w:r w:rsidR="00BA6BFE">
        <w:rPr>
          <w:rFonts w:ascii="Verdana" w:eastAsia="Verdana" w:hAnsi="Verdana" w:cs="Verdana"/>
          <w:sz w:val="19"/>
        </w:rPr>
        <w:tab/>
        <w:t xml:space="preserve">                   $</w:t>
      </w:r>
    </w:p>
    <w:p w14:paraId="0D8BDAB0" w14:textId="55263500" w:rsidR="007507B0" w:rsidRDefault="005E2B5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7" w:line="258" w:lineRule="auto"/>
        <w:ind w:left="1716" w:right="1529" w:hanging="10"/>
      </w:pPr>
      <w:r>
        <w:rPr>
          <w:rFonts w:ascii="Verdana" w:eastAsia="Verdana" w:hAnsi="Verdana" w:cs="Verdana"/>
          <w:b/>
          <w:sz w:val="19"/>
        </w:rPr>
        <w:t xml:space="preserve">Total </w:t>
      </w:r>
      <w:r w:rsidR="00BA6BFE">
        <w:rPr>
          <w:rFonts w:ascii="Verdana" w:eastAsia="Verdana" w:hAnsi="Verdana" w:cs="Verdana"/>
          <w:b/>
          <w:sz w:val="19"/>
        </w:rPr>
        <w:t>des dépenses</w:t>
      </w:r>
      <w:r>
        <w:rPr>
          <w:rFonts w:ascii="Verdana" w:eastAsia="Verdana" w:hAnsi="Verdana" w:cs="Verdana"/>
          <w:b/>
          <w:sz w:val="19"/>
        </w:rPr>
        <w:tab/>
      </w:r>
      <w:r w:rsidR="00BA6BFE">
        <w:rPr>
          <w:rFonts w:ascii="Verdana" w:eastAsia="Verdana" w:hAnsi="Verdana" w:cs="Verdana"/>
          <w:b/>
          <w:sz w:val="19"/>
        </w:rPr>
        <w:tab/>
      </w:r>
      <w:r w:rsidR="00BA6BFE">
        <w:rPr>
          <w:rFonts w:ascii="Verdana" w:eastAsia="Verdana" w:hAnsi="Verdana" w:cs="Verdana"/>
          <w:b/>
          <w:sz w:val="19"/>
        </w:rPr>
        <w:tab/>
      </w:r>
      <w:r w:rsidR="00BA6BFE">
        <w:rPr>
          <w:rFonts w:ascii="Verdana" w:eastAsia="Verdana" w:hAnsi="Verdana" w:cs="Verdana"/>
          <w:b/>
          <w:sz w:val="19"/>
        </w:rPr>
        <w:tab/>
      </w:r>
      <w:proofErr w:type="gramStart"/>
      <w:r w:rsidR="00BA6BFE">
        <w:rPr>
          <w:rFonts w:ascii="Verdana" w:eastAsia="Verdana" w:hAnsi="Verdana" w:cs="Verdana"/>
          <w:b/>
          <w:sz w:val="19"/>
        </w:rPr>
        <w:tab/>
        <w:t xml:space="preserve">  </w:t>
      </w:r>
      <w:r>
        <w:rPr>
          <w:rFonts w:ascii="Verdana" w:eastAsia="Verdana" w:hAnsi="Verdana" w:cs="Verdana"/>
          <w:b/>
          <w:sz w:val="19"/>
        </w:rPr>
        <w:t>90</w:t>
      </w:r>
      <w:proofErr w:type="gramEnd"/>
      <w:r w:rsidR="00BA6BFE">
        <w:rPr>
          <w:rFonts w:ascii="Verdana" w:eastAsia="Verdana" w:hAnsi="Verdana" w:cs="Verdana"/>
          <w:b/>
          <w:sz w:val="19"/>
        </w:rPr>
        <w:t> </w:t>
      </w:r>
      <w:r>
        <w:rPr>
          <w:rFonts w:ascii="Verdana" w:eastAsia="Verdana" w:hAnsi="Verdana" w:cs="Verdana"/>
          <w:b/>
          <w:sz w:val="19"/>
        </w:rPr>
        <w:t>913</w:t>
      </w:r>
      <w:r w:rsidR="00BA6BFE">
        <w:rPr>
          <w:rFonts w:ascii="Verdana" w:eastAsia="Verdana" w:hAnsi="Verdana" w:cs="Verdana"/>
          <w:b/>
          <w:sz w:val="19"/>
        </w:rPr>
        <w:t>,</w:t>
      </w:r>
      <w:r>
        <w:rPr>
          <w:rFonts w:ascii="Verdana" w:eastAsia="Verdana" w:hAnsi="Verdana" w:cs="Verdana"/>
          <w:b/>
          <w:sz w:val="19"/>
        </w:rPr>
        <w:t>20</w:t>
      </w:r>
      <w:r w:rsidR="00BA6BFE">
        <w:rPr>
          <w:rFonts w:ascii="Verdana" w:eastAsia="Verdana" w:hAnsi="Verdana" w:cs="Verdana"/>
          <w:b/>
          <w:sz w:val="19"/>
        </w:rPr>
        <w:t> $</w:t>
      </w:r>
    </w:p>
    <w:p w14:paraId="49513F45" w14:textId="5EE3252A" w:rsidR="007507B0" w:rsidRDefault="005E2B52">
      <w:pPr>
        <w:pStyle w:val="Heading1"/>
        <w:spacing w:after="594" w:line="378" w:lineRule="auto"/>
        <w:ind w:left="1716" w:right="1529"/>
      </w:pPr>
      <w:r>
        <w:rPr>
          <w:b w:val="0"/>
        </w:rPr>
        <w:t xml:space="preserve">        Transfer</w:t>
      </w:r>
      <w:r w:rsidR="00BA6BFE">
        <w:rPr>
          <w:b w:val="0"/>
        </w:rPr>
        <w:t>t</w:t>
      </w:r>
      <w:r>
        <w:rPr>
          <w:b w:val="0"/>
        </w:rPr>
        <w:tab/>
      </w:r>
      <w:r w:rsidR="00BA6BFE">
        <w:rPr>
          <w:b w:val="0"/>
        </w:rPr>
        <w:tab/>
      </w:r>
      <w:r w:rsidR="00BA6BFE">
        <w:rPr>
          <w:b w:val="0"/>
        </w:rPr>
        <w:tab/>
      </w:r>
      <w:r w:rsidR="00BA6BFE">
        <w:rPr>
          <w:b w:val="0"/>
        </w:rPr>
        <w:tab/>
      </w:r>
      <w:r w:rsidR="00BA6BFE">
        <w:rPr>
          <w:b w:val="0"/>
        </w:rPr>
        <w:tab/>
      </w:r>
      <w:r w:rsidR="00BA6BFE">
        <w:rPr>
          <w:b w:val="0"/>
        </w:rPr>
        <w:tab/>
      </w:r>
      <w:r w:rsidR="00BA6BFE">
        <w:rPr>
          <w:b w:val="0"/>
        </w:rPr>
        <w:tab/>
        <w:t xml:space="preserve">         </w:t>
      </w:r>
      <w:r>
        <w:rPr>
          <w:b w:val="0"/>
        </w:rPr>
        <w:t>$</w:t>
      </w:r>
      <w:r w:rsidR="00BA6BFE">
        <w:rPr>
          <w:b w:val="0"/>
        </w:rPr>
        <w:br/>
      </w:r>
      <w:r>
        <w:t xml:space="preserve">Total </w:t>
      </w:r>
      <w:r w:rsidR="00BA6BFE">
        <w:t>des transferts</w:t>
      </w:r>
      <w:r>
        <w:tab/>
      </w:r>
      <w:r w:rsidR="00BA6BFE">
        <w:tab/>
      </w:r>
      <w:r w:rsidR="00BA6BFE">
        <w:tab/>
      </w:r>
      <w:r w:rsidR="00BA6BFE">
        <w:tab/>
      </w:r>
      <w:r w:rsidR="00BA6BFE">
        <w:tab/>
      </w:r>
      <w:r w:rsidR="00BA6BFE">
        <w:tab/>
        <w:t xml:space="preserve">         </w:t>
      </w:r>
      <w:r>
        <w:t xml:space="preserve">$                  </w:t>
      </w:r>
      <w:r w:rsidR="00BA6BFE">
        <w:t>Solde de clôture</w:t>
      </w:r>
      <w:r w:rsidR="00BA6BFE">
        <w:tab/>
      </w:r>
      <w:r w:rsidR="00BA6BFE">
        <w:tab/>
      </w:r>
      <w:r w:rsidR="00BA6BFE">
        <w:tab/>
      </w:r>
      <w:r w:rsidR="00BA6BFE">
        <w:tab/>
      </w:r>
      <w:r w:rsidR="00BA6BFE">
        <w:tab/>
      </w:r>
      <w:r>
        <w:tab/>
      </w:r>
      <w:r w:rsidR="00BA6BFE">
        <w:t xml:space="preserve"> </w:t>
      </w:r>
      <w:r>
        <w:t>931</w:t>
      </w:r>
      <w:r w:rsidR="00BA6BFE">
        <w:t> </w:t>
      </w:r>
      <w:r>
        <w:t>317</w:t>
      </w:r>
      <w:r w:rsidR="00BA6BFE">
        <w:t>,</w:t>
      </w:r>
      <w:r>
        <w:t>12</w:t>
      </w:r>
      <w:r w:rsidR="00BA6BFE">
        <w:t> $</w:t>
      </w:r>
    </w:p>
    <w:p w14:paraId="4CF50FC9" w14:textId="1FD2DDFB" w:rsidR="007507B0" w:rsidRDefault="005E2B52">
      <w:pPr>
        <w:tabs>
          <w:tab w:val="center" w:pos="2737"/>
          <w:tab w:val="center" w:pos="7739"/>
        </w:tabs>
        <w:spacing w:after="301"/>
      </w:pPr>
      <w:r>
        <w:tab/>
      </w:r>
      <w:r w:rsidR="00BA6BFE">
        <w:t xml:space="preserve">                                 </w:t>
      </w:r>
      <w:r w:rsidR="00BA6BFE">
        <w:rPr>
          <w:rFonts w:ascii="Verdana" w:eastAsia="Verdana" w:hAnsi="Verdana" w:cs="Verdana"/>
          <w:b/>
          <w:sz w:val="19"/>
        </w:rPr>
        <w:t>S</w:t>
      </w:r>
      <w:r w:rsidR="00BA6BFE" w:rsidRPr="00BA6BFE">
        <w:rPr>
          <w:rFonts w:ascii="Verdana" w:eastAsia="Verdana" w:hAnsi="Verdana" w:cs="Verdana"/>
          <w:b/>
          <w:sz w:val="19"/>
        </w:rPr>
        <w:t>omme assujettie à des restrictions</w:t>
      </w:r>
      <w:r>
        <w:rPr>
          <w:rFonts w:ascii="Verdana" w:eastAsia="Verdana" w:hAnsi="Verdana" w:cs="Verdana"/>
          <w:b/>
          <w:sz w:val="19"/>
        </w:rPr>
        <w:tab/>
        <w:t xml:space="preserve">                  </w:t>
      </w:r>
      <w:r w:rsidR="00BA6BFE">
        <w:rPr>
          <w:rFonts w:ascii="Verdana" w:eastAsia="Verdana" w:hAnsi="Verdana" w:cs="Verdana"/>
          <w:b/>
          <w:sz w:val="19"/>
        </w:rPr>
        <w:t>$</w:t>
      </w:r>
    </w:p>
    <w:p w14:paraId="62EAB60B" w14:textId="5C89B2FF" w:rsidR="007507B0" w:rsidRDefault="00BA6BFE" w:rsidP="00BA6BFE">
      <w:pPr>
        <w:spacing w:after="0" w:line="265" w:lineRule="auto"/>
        <w:ind w:left="-5" w:hanging="10"/>
      </w:pPr>
      <w:r>
        <w:rPr>
          <w:rFonts w:ascii="Verdana" w:eastAsia="Verdana" w:hAnsi="Verdana" w:cs="Verdana"/>
          <w:sz w:val="19"/>
        </w:rPr>
        <w:t>Si vous avez des questions, veuillez communiquer avec Jenna Yango Leonard au 1-866-430-8223 ou à l’adresse jyleonard@united-church.ca.</w:t>
      </w:r>
    </w:p>
    <w:sectPr w:rsidR="00750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72" w:bottom="1440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865" w14:textId="77777777" w:rsidR="005E2B52" w:rsidRDefault="005E2B52" w:rsidP="00BA6BFE">
      <w:pPr>
        <w:spacing w:after="0" w:line="240" w:lineRule="auto"/>
      </w:pPr>
      <w:r>
        <w:separator/>
      </w:r>
    </w:p>
  </w:endnote>
  <w:endnote w:type="continuationSeparator" w:id="0">
    <w:p w14:paraId="5CBBDF69" w14:textId="77777777" w:rsidR="005E2B52" w:rsidRDefault="005E2B52" w:rsidP="00B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6244" w14:textId="77777777" w:rsidR="00BA6BFE" w:rsidRDefault="00BA6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393F" w14:textId="77777777" w:rsidR="00BA6BFE" w:rsidRDefault="00BA6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508A" w14:textId="77777777" w:rsidR="00BA6BFE" w:rsidRDefault="00BA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8F6E" w14:textId="77777777" w:rsidR="005E2B52" w:rsidRDefault="005E2B52" w:rsidP="00BA6BFE">
      <w:pPr>
        <w:spacing w:after="0" w:line="240" w:lineRule="auto"/>
      </w:pPr>
      <w:r>
        <w:separator/>
      </w:r>
    </w:p>
  </w:footnote>
  <w:footnote w:type="continuationSeparator" w:id="0">
    <w:p w14:paraId="467193F9" w14:textId="77777777" w:rsidR="005E2B52" w:rsidRDefault="005E2B52" w:rsidP="00B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05BC" w14:textId="77777777" w:rsidR="00BA6BFE" w:rsidRDefault="00BA6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18B5" w14:textId="77777777" w:rsidR="00BA6BFE" w:rsidRDefault="00BA6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01A" w14:textId="77777777" w:rsidR="00BA6BFE" w:rsidRDefault="00BA6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B0"/>
    <w:rsid w:val="005E2B52"/>
    <w:rsid w:val="007507B0"/>
    <w:rsid w:val="00BA6BFE"/>
    <w:rsid w:val="00E9408F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F67"/>
  <w15:docId w15:val="{CCF9FD27-4102-4AFA-AC42-269C57F4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 w:line="259" w:lineRule="auto"/>
      <w:ind w:left="1736" w:hanging="10"/>
      <w:jc w:val="both"/>
      <w:outlineLvl w:val="0"/>
    </w:pPr>
    <w:rPr>
      <w:rFonts w:ascii="Verdana" w:eastAsia="Verdana" w:hAnsi="Verdana" w:cs="Verdana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BA6B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FE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A6B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F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Zhang</dc:creator>
  <cp:keywords/>
  <cp:lastModifiedBy>Stéphane Vermette</cp:lastModifiedBy>
  <cp:revision>2</cp:revision>
  <dcterms:created xsi:type="dcterms:W3CDTF">2024-02-23T17:50:00Z</dcterms:created>
  <dcterms:modified xsi:type="dcterms:W3CDTF">2024-02-23T17:50:00Z</dcterms:modified>
</cp:coreProperties>
</file>